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2" w:rsidRPr="00EF474A" w:rsidRDefault="00566172" w:rsidP="00566172">
      <w:pPr>
        <w:pStyle w:val="Titre11"/>
        <w:spacing w:before="120"/>
        <w:ind w:left="686" w:firstLine="0"/>
        <w:outlineLvl w:val="0"/>
        <w:rPr>
          <w:color w:val="FF0000"/>
        </w:rPr>
      </w:pPr>
      <w:bookmarkStart w:id="0" w:name="_Toc374708900"/>
      <w:bookmarkStart w:id="1" w:name="_Toc374711274"/>
      <w:r w:rsidRPr="00EF474A">
        <w:rPr>
          <w:color w:val="FF0000"/>
        </w:rPr>
        <w:t>Mention SCIENCES DE L'HOMME, ANTHROPOLOGIE, ETHNOLOGIE</w:t>
      </w:r>
      <w:bookmarkEnd w:id="0"/>
      <w:bookmarkEnd w:id="1"/>
    </w:p>
    <w:p w:rsidR="00566172" w:rsidRDefault="00566172" w:rsidP="00566172">
      <w:pPr>
        <w:pStyle w:val="Corpsdetexte"/>
        <w:spacing w:before="9"/>
        <w:rPr>
          <w:b/>
          <w:sz w:val="23"/>
        </w:rPr>
      </w:pPr>
    </w:p>
    <w:p w:rsidR="00566172" w:rsidRDefault="00566172" w:rsidP="00566172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566172" w:rsidRDefault="00566172" w:rsidP="00566172">
      <w:pPr>
        <w:pStyle w:val="Corpsdetexte"/>
        <w:spacing w:before="10"/>
        <w:rPr>
          <w:sz w:val="23"/>
        </w:rPr>
      </w:pPr>
    </w:p>
    <w:p w:rsidR="00566172" w:rsidRDefault="00566172" w:rsidP="00566172">
      <w:pPr>
        <w:pStyle w:val="Titre11"/>
        <w:ind w:left="120" w:firstLine="0"/>
        <w:jc w:val="both"/>
      </w:pPr>
      <w:bookmarkStart w:id="2" w:name="_Toc374708901"/>
      <w:bookmarkStart w:id="3" w:name="_Toc374711275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566172" w:rsidRDefault="00566172" w:rsidP="00566172">
      <w:pPr>
        <w:pStyle w:val="Corpsdetexte"/>
        <w:spacing w:before="9"/>
        <w:rPr>
          <w:b/>
          <w:sz w:val="23"/>
        </w:rPr>
      </w:pPr>
    </w:p>
    <w:p w:rsidR="00566172" w:rsidRDefault="00566172" w:rsidP="00566172">
      <w:pPr>
        <w:spacing w:before="1"/>
        <w:ind w:left="119" w:right="118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SCIENCES DE L'HOMME, ANTHROPOLOGIE, </w:t>
      </w:r>
      <w:proofErr w:type="gramStart"/>
      <w:r>
        <w:rPr>
          <w:b/>
          <w:sz w:val="24"/>
        </w:rPr>
        <w:t>ETHNOLOGIE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566172" w:rsidRDefault="00566172" w:rsidP="00566172">
      <w:pPr>
        <w:pStyle w:val="Corpsdetexte"/>
        <w:spacing w:before="3"/>
      </w:pPr>
    </w:p>
    <w:p w:rsidR="00566172" w:rsidRDefault="00566172" w:rsidP="0056617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902"/>
      <w:bookmarkStart w:id="5" w:name="_Toc374711276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566172" w:rsidRDefault="00566172" w:rsidP="00566172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,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566172" w:rsidRDefault="00566172" w:rsidP="00566172">
      <w:pPr>
        <w:pStyle w:val="Corpsdetexte"/>
        <w:spacing w:before="10"/>
        <w:rPr>
          <w:sz w:val="23"/>
        </w:rPr>
      </w:pPr>
    </w:p>
    <w:p w:rsidR="00566172" w:rsidRDefault="00566172" w:rsidP="0056617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903"/>
      <w:bookmarkStart w:id="7" w:name="_Toc374711277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566172" w:rsidRDefault="00566172" w:rsidP="00566172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proofErr w:type="gramStart"/>
      <w:r>
        <w:t>langues</w:t>
      </w:r>
      <w:proofErr w:type="spellEnd"/>
      <w:r>
        <w:t xml:space="preserve">  </w:t>
      </w:r>
      <w:proofErr w:type="spellStart"/>
      <w:r>
        <w:t>vivantes</w:t>
      </w:r>
      <w:proofErr w:type="spellEnd"/>
      <w:proofErr w:type="gram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566172" w:rsidRDefault="00566172" w:rsidP="00566172">
      <w:pPr>
        <w:pStyle w:val="Corpsdetexte"/>
      </w:pPr>
    </w:p>
    <w:p w:rsidR="00566172" w:rsidRDefault="00566172" w:rsidP="00566172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904"/>
      <w:bookmarkStart w:id="9" w:name="_Toc374711278"/>
      <w:proofErr w:type="spellStart"/>
      <w:r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rPr>
          <w:spacing w:val="-4"/>
        </w:rPr>
        <w:t xml:space="preserve"> </w:t>
      </w:r>
      <w:proofErr w:type="spellStart"/>
      <w:r>
        <w:t>scientifique</w:t>
      </w:r>
      <w:bookmarkEnd w:id="8"/>
      <w:bookmarkEnd w:id="9"/>
      <w:proofErr w:type="spellEnd"/>
    </w:p>
    <w:p w:rsidR="00566172" w:rsidRDefault="00566172" w:rsidP="00566172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</w:t>
      </w:r>
      <w:proofErr w:type="gramStart"/>
      <w:r>
        <w:t>mention suppose</w:t>
      </w:r>
      <w:proofErr w:type="gramEnd"/>
      <w:r>
        <w:t xml:space="preserve"> en </w:t>
      </w:r>
      <w:proofErr w:type="spellStart"/>
      <w:r>
        <w:t>effet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et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logiques</w:t>
      </w:r>
      <w:proofErr w:type="spellEnd"/>
      <w:r>
        <w:t xml:space="preserve"> et </w:t>
      </w:r>
      <w:proofErr w:type="spellStart"/>
      <w:r>
        <w:t>argumentés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de concepts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disciplines.</w:t>
      </w:r>
    </w:p>
    <w:p w:rsidR="00566172" w:rsidRDefault="00566172" w:rsidP="00566172">
      <w:pPr>
        <w:pStyle w:val="Corpsdetexte"/>
        <w:spacing w:before="5"/>
      </w:pPr>
    </w:p>
    <w:p w:rsidR="00566172" w:rsidRDefault="00566172" w:rsidP="0056617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0" w:name="_Toc374708905"/>
      <w:bookmarkStart w:id="11" w:name="_Toc374711279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sciences </w:t>
      </w:r>
      <w:proofErr w:type="spellStart"/>
      <w:r>
        <w:t>humaines</w:t>
      </w:r>
      <w:bookmarkEnd w:id="10"/>
      <w:bookmarkEnd w:id="11"/>
      <w:proofErr w:type="spellEnd"/>
    </w:p>
    <w:p w:rsidR="00566172" w:rsidRDefault="00566172" w:rsidP="00566172">
      <w:pPr>
        <w:pStyle w:val="Corpsdetexte"/>
        <w:ind w:left="119" w:right="119"/>
        <w:jc w:val="both"/>
      </w:pPr>
      <w:proofErr w:type="spellStart"/>
      <w:r>
        <w:t>Cette</w:t>
      </w:r>
      <w:proofErr w:type="spellEnd"/>
      <w:r>
        <w:t xml:space="preserve"> mention </w:t>
      </w:r>
      <w:proofErr w:type="gramStart"/>
      <w:r>
        <w:t>a</w:t>
      </w:r>
      <w:proofErr w:type="gramEnd"/>
      <w:r>
        <w:t xml:space="preserve"> en </w:t>
      </w:r>
      <w:proofErr w:type="spellStart"/>
      <w:r>
        <w:t>effet</w:t>
      </w:r>
      <w:proofErr w:type="spellEnd"/>
      <w:r>
        <w:t xml:space="preserve"> pour objet </w:t>
      </w:r>
      <w:proofErr w:type="spellStart"/>
      <w:r>
        <w:t>l'étude</w:t>
      </w:r>
      <w:proofErr w:type="spellEnd"/>
      <w:r>
        <w:t xml:space="preserve"> et la </w:t>
      </w:r>
      <w:proofErr w:type="spellStart"/>
      <w:r>
        <w:t>compréhension</w:t>
      </w:r>
      <w:proofErr w:type="spellEnd"/>
      <w:r>
        <w:t xml:space="preserve"> du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spatialité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temporalité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566172" w:rsidRDefault="00566172" w:rsidP="00566172">
      <w:pPr>
        <w:pStyle w:val="Corpsdetexte"/>
      </w:pPr>
    </w:p>
    <w:p w:rsidR="00566172" w:rsidRDefault="00566172" w:rsidP="00566172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12" w:name="_Toc374708906"/>
      <w:bookmarkStart w:id="13" w:name="_Toc374711280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12"/>
      <w:bookmarkEnd w:id="13"/>
    </w:p>
    <w:p w:rsidR="00566172" w:rsidRDefault="00566172" w:rsidP="00566172">
      <w:pPr>
        <w:pStyle w:val="Corpsdetexte"/>
        <w:ind w:left="120" w:right="119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</w:t>
      </w:r>
      <w:proofErr w:type="spellStart"/>
      <w:r>
        <w:t>cette</w:t>
      </w:r>
      <w:proofErr w:type="spellEnd"/>
      <w:r>
        <w:t xml:space="preserve"> mention,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</w:t>
      </w:r>
      <w:proofErr w:type="spellStart"/>
      <w:r>
        <w:t>Licence</w:t>
      </w:r>
      <w:proofErr w:type="spellEnd"/>
      <w:r>
        <w:t xml:space="preserve"> de Sciences de </w:t>
      </w:r>
      <w:proofErr w:type="spellStart"/>
      <w:r>
        <w:t>l'homme</w:t>
      </w:r>
      <w:proofErr w:type="spellEnd"/>
      <w:r>
        <w:t xml:space="preserve">, </w:t>
      </w:r>
      <w:proofErr w:type="spellStart"/>
      <w:r>
        <w:t>anthropologie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ethnologie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et au travail personnel.</w:t>
      </w:r>
    </w:p>
    <w:p w:rsidR="00566172" w:rsidRDefault="00566172" w:rsidP="00566172">
      <w:pPr>
        <w:pStyle w:val="Corpsdetexte"/>
        <w:spacing w:before="2"/>
      </w:pPr>
    </w:p>
    <w:p w:rsidR="00566172" w:rsidRDefault="00566172" w:rsidP="00566172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hanging="357"/>
        <w:jc w:val="both"/>
      </w:pPr>
      <w:bookmarkStart w:id="14" w:name="_Toc374708907"/>
      <w:bookmarkStart w:id="15" w:name="_Toc374711281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la </w:t>
      </w:r>
      <w:proofErr w:type="spellStart"/>
      <w:r>
        <w:t>recherche</w:t>
      </w:r>
      <w:proofErr w:type="spellEnd"/>
      <w:r>
        <w:rPr>
          <w:spacing w:val="-5"/>
        </w:rPr>
        <w:t xml:space="preserve"> </w:t>
      </w:r>
      <w:proofErr w:type="spellStart"/>
      <w:r>
        <w:t>documentaire</w:t>
      </w:r>
      <w:bookmarkEnd w:id="14"/>
      <w:bookmarkEnd w:id="15"/>
      <w:proofErr w:type="spellEnd"/>
    </w:p>
    <w:p w:rsidR="00566172" w:rsidRDefault="00566172" w:rsidP="00566172">
      <w:pPr>
        <w:pStyle w:val="Corpsdetexte"/>
        <w:ind w:left="119" w:right="119"/>
        <w:jc w:val="both"/>
      </w:pPr>
      <w:proofErr w:type="spellStart"/>
      <w:r>
        <w:t>Cette</w:t>
      </w:r>
      <w:proofErr w:type="spellEnd"/>
      <w:r>
        <w:t xml:space="preserve"> formation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l’analyse</w:t>
      </w:r>
      <w:proofErr w:type="spellEnd"/>
      <w:r>
        <w:t xml:space="preserve"> </w:t>
      </w:r>
      <w:proofErr w:type="spellStart"/>
      <w:r>
        <w:t>combinée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sources de nature diverse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mettre</w:t>
      </w:r>
      <w:proofErr w:type="spellEnd"/>
      <w:r>
        <w:t xml:space="preserve"> en perspective.</w:t>
      </w:r>
    </w:p>
    <w:p w:rsidR="00566172" w:rsidRDefault="00566172" w:rsidP="00566172">
      <w:pPr>
        <w:pStyle w:val="Corpsdetexte"/>
        <w:spacing w:before="1"/>
      </w:pPr>
    </w:p>
    <w:p w:rsidR="00566172" w:rsidRDefault="00566172" w:rsidP="00566172">
      <w:pPr>
        <w:pStyle w:val="Titre11"/>
        <w:numPr>
          <w:ilvl w:val="0"/>
          <w:numId w:val="1"/>
        </w:numPr>
        <w:tabs>
          <w:tab w:val="left" w:pos="480"/>
        </w:tabs>
        <w:ind w:hanging="357"/>
        <w:jc w:val="both"/>
        <w:rPr>
          <w:b w:val="0"/>
        </w:rPr>
      </w:pPr>
      <w:bookmarkStart w:id="16" w:name="_Toc374708908"/>
      <w:bookmarkStart w:id="17" w:name="_Toc374711282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les questions </w:t>
      </w:r>
      <w:proofErr w:type="spellStart"/>
      <w:r>
        <w:t>historiques</w:t>
      </w:r>
      <w:proofErr w:type="spellEnd"/>
      <w:r>
        <w:t>,</w:t>
      </w:r>
      <w:r>
        <w:rPr>
          <w:spacing w:val="-32"/>
        </w:rPr>
        <w:t xml:space="preserve"> </w:t>
      </w:r>
      <w:proofErr w:type="spellStart"/>
      <w:r>
        <w:t>politiques</w:t>
      </w:r>
      <w:proofErr w:type="spellEnd"/>
      <w:r>
        <w:t>,</w:t>
      </w:r>
      <w:bookmarkEnd w:id="16"/>
      <w:r>
        <w:rPr>
          <w:b w:val="0"/>
        </w:rPr>
        <w:t xml:space="preserve"> </w:t>
      </w:r>
      <w:proofErr w:type="spellStart"/>
      <w:r>
        <w:rPr>
          <w:b w:val="0"/>
        </w:rPr>
        <w:t>économiques</w:t>
      </w:r>
      <w:proofErr w:type="spellEnd"/>
      <w:r>
        <w:rPr>
          <w:b w:val="0"/>
        </w:rPr>
        <w:t xml:space="preserve"> et </w:t>
      </w:r>
      <w:proofErr w:type="spellStart"/>
      <w:r>
        <w:rPr>
          <w:b w:val="0"/>
        </w:rPr>
        <w:t>sociales</w:t>
      </w:r>
      <w:bookmarkEnd w:id="17"/>
      <w:proofErr w:type="spellEnd"/>
    </w:p>
    <w:p w:rsidR="00566172" w:rsidRDefault="00566172" w:rsidP="00566172">
      <w:pPr>
        <w:pStyle w:val="Corpsdetexte"/>
        <w:ind w:left="119"/>
      </w:pPr>
      <w:r>
        <w:t xml:space="preserve">Les Sciences de </w:t>
      </w:r>
      <w:proofErr w:type="spellStart"/>
      <w:r>
        <w:t>l'homme</w:t>
      </w:r>
      <w:proofErr w:type="spellEnd"/>
      <w:r>
        <w:t xml:space="preserve">, </w:t>
      </w:r>
      <w:proofErr w:type="spellStart"/>
      <w:r>
        <w:t>l’anthropologie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l’ethnologie</w:t>
      </w:r>
      <w:proofErr w:type="spellEnd"/>
      <w:r>
        <w:t xml:space="preserve"> </w:t>
      </w:r>
      <w:proofErr w:type="spellStart"/>
      <w:r>
        <w:t>impliquent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dimension </w:t>
      </w:r>
      <w:proofErr w:type="spellStart"/>
      <w:r>
        <w:t>historique</w:t>
      </w:r>
      <w:proofErr w:type="spellEnd"/>
      <w:r>
        <w:t xml:space="preserve">, </w:t>
      </w:r>
      <w:proofErr w:type="spellStart"/>
      <w:r>
        <w:t>politique</w:t>
      </w:r>
      <w:proofErr w:type="spellEnd"/>
      <w:r>
        <w:t xml:space="preserve">, </w:t>
      </w:r>
      <w:proofErr w:type="spellStart"/>
      <w:r>
        <w:t>économique</w:t>
      </w:r>
      <w:proofErr w:type="spellEnd"/>
      <w:r>
        <w:t xml:space="preserve"> et </w:t>
      </w:r>
      <w:proofErr w:type="spellStart"/>
      <w:r>
        <w:t>sociale</w:t>
      </w:r>
      <w:proofErr w:type="spellEnd"/>
      <w:r>
        <w:t>.</w:t>
      </w:r>
    </w:p>
    <w:p w:rsidR="00E83210" w:rsidRDefault="00E83210">
      <w:bookmarkStart w:id="18" w:name="_GoBack"/>
      <w:bookmarkEnd w:id="18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2"/>
    <w:rsid w:val="00566172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1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6617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6617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66172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1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6617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6617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66172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2017-12-21T10:48:00Z</dcterms:created>
  <dcterms:modified xsi:type="dcterms:W3CDTF">2017-12-21T10:49:00Z</dcterms:modified>
</cp:coreProperties>
</file>